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line="240" w:lineRule="auto"/>
        <w:ind w:left="-425.1968503937008" w:firstLine="15"/>
        <w:rPr>
          <w:rFonts w:ascii="Asap" w:cs="Asap" w:eastAsia="Asap" w:hAnsi="Asap"/>
          <w:b w:val="1"/>
          <w:bCs w:val="1"/>
          <w:color w:val="5b2b6b"/>
          <w:sz w:val="44"/>
          <w:szCs w:val="44"/>
        </w:rPr>
      </w:pPr>
      <w:bookmarkStart w:colFirst="0" w:colLast="0" w:name="_heading=h.qmzk0ap1uzg9" w:id="0"/>
      <w:bookmarkEnd w:id="0"/>
      <w:r w:rsidDel="00000000" w:rsidR="00000000" w:rsidRPr="00000000">
        <w:rPr>
          <w:rFonts w:ascii="Asap" w:cs="Asap" w:eastAsia="Asap" w:hAnsi="Asap"/>
          <w:b w:val="1"/>
          <w:bCs w:val="1"/>
          <w:color w:val="5b2b6b"/>
          <w:sz w:val="44"/>
          <w:szCs w:val="44"/>
          <w:rtl w:val="0"/>
        </w:rPr>
        <w:t xml:space="preserve">CEFR Eastern Region Working Group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5819775</wp:posOffset>
            </wp:positionH>
            <wp:positionV relativeFrom="paragraph">
              <wp:posOffset>-148588</wp:posOffset>
            </wp:positionV>
            <wp:extent cx="1351418" cy="563091"/>
            <wp:effectExtent b="0" l="0" r="0" t="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1418" cy="5630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160" w:line="259" w:lineRule="auto"/>
        <w:ind w:left="-425.1968503937008" w:right="855" w:firstLine="15"/>
        <w:rPr/>
      </w:pPr>
      <w:bookmarkStart w:colFirst="0" w:colLast="0" w:name="_heading=h.sjopfcyozjt7" w:id="1"/>
      <w:bookmarkEnd w:id="1"/>
      <w:r w:rsidDel="00000000" w:rsidR="00000000" w:rsidRPr="00000000">
        <w:rPr>
          <w:rFonts w:ascii="Asap" w:cs="Asap" w:eastAsia="Asap" w:hAnsi="Asap"/>
          <w:b w:val="1"/>
          <w:bCs w:val="1"/>
          <w:color w:val="5b2b6b"/>
          <w:sz w:val="30"/>
          <w:szCs w:val="30"/>
          <w:rtl w:val="0"/>
        </w:rPr>
        <w:t xml:space="preserve">Scenario Webs / Réseaux actionnels</w:t>
      </w: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Lien vers le projet initial : </w:t>
            </w:r>
            <w:hyperlink r:id="rId8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CEFR Action-oriented Scenario Webs / Réseaux actionnels du CECR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Niveau du CECR : A2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Année : 9e (de base)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Programme : Français de base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Scénario actionnel :</w:t>
            </w:r>
            <w:r w:rsidDel="00000000" w:rsidR="00000000" w:rsidRPr="00000000">
              <w:rPr>
                <w:rtl w:val="0"/>
              </w:rPr>
              <w:t xml:space="preserve"> </w:t>
            </w:r>
            <w:hyperlink r:id="rId9">
              <w:r w:rsidDel="00000000" w:rsidR="00000000" w:rsidRPr="00000000">
                <w:rPr>
                  <w:i w:val="1"/>
                  <w:iCs w:val="1"/>
                  <w:color w:val="1155cc"/>
                  <w:u w:val="single"/>
                  <w:rtl w:val="0"/>
                </w:rPr>
                <w:t xml:space="preserve">Organiser une soirée à Montréal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 de la tâche 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Des amis de la famille qui habitent au Vietnam viendront vous rendre visite chez vous à Montréal et ils ont un.e adolescent.e de votre âge. Tes parents ont suggéré d’aller dîner tous les deux ensemble puis de rentrer à la maison afin de regarder un film. Votre invité.e parle très peu anglais, car sa langue dominante est le vietnamien, mais elle/il parle un peu français. Tes parents vous donnent 60 $ pour que vous puissiez dîner ensemble, l’adolescent.e et toi, quelque part. Tu dois garder à l'esprit qu'elle/il  est végétarien.ne et sera possiblement limité.e dans le choix des plats au restaurant. Vous devrez prendre un autobus ou le métro pour vous y rendre, donc les restaurants doivent être facilement accessibles. Tes parents t’ont également donné 20$ pour acheter des collations. Assure-toi de choisir à l’avance le film que vous allez regarder ensemble pendant que vous êtes dehors, et quelles collations vous devez acheter sur le chemin du retour. </w:t>
            </w:r>
            <w:hyperlink r:id="rId10">
              <w:r w:rsidDel="00000000" w:rsidR="00000000" w:rsidRPr="00000000">
                <w:rPr>
                  <w:i w:val="1"/>
                  <w:iCs w:val="1"/>
                  <w:color w:val="1155cc"/>
                  <w:u w:val="single"/>
                  <w:rtl w:val="0"/>
                </w:rPr>
                <w:t xml:space="preserve">(Lien)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Lien vers le réseau actionnel pour cette tâche :  </w:t>
            </w:r>
            <w:hyperlink r:id="rId11">
              <w:r w:rsidDel="00000000" w:rsidR="00000000" w:rsidRPr="00000000">
                <w:rPr>
                  <w:i w:val="1"/>
                  <w:iCs w:val="1"/>
                  <w:color w:val="1155cc"/>
                  <w:u w:val="single"/>
                  <w:rtl w:val="0"/>
                </w:rPr>
                <w:t xml:space="preserve">Organiser une soirée à Montréal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Thème auquel la sous-tâche est liée 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Relaying Info in an Email/Transmettre de l'information dans un courriel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Titre de la sous-tâche 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Répondre à un courriel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Prénoms et noms des auteur.e.s. 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Alexandra Guzman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120" w:before="120" w:lineRule="auto"/>
              <w:ind w:left="0" w:firstLine="0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Attentes du Curriculum de l’Ontario 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Suivant le modèle sur </w:t>
            </w:r>
            <w:hyperlink r:id="rId12">
              <w:r w:rsidDel="00000000" w:rsidR="00000000" w:rsidRPr="00000000">
                <w:rPr>
                  <w:i w:val="1"/>
                  <w:iCs w:val="1"/>
                  <w:color w:val="1155cc"/>
                  <w:u w:val="single"/>
                  <w:rtl w:val="0"/>
                </w:rPr>
                <w:t xml:space="preserve">la fiche de planification de l’enseignant.e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Learning Outcomes/Overall Expectations: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A2. Listening to Interact: </w:t>
            </w:r>
            <w:r w:rsidDel="00000000" w:rsidR="00000000" w:rsidRPr="00000000">
              <w:rPr>
                <w:rtl w:val="0"/>
              </w:rPr>
              <w:t xml:space="preserve">interpret messages accurately while interacting in French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B1. Speaking to Communicate: </w:t>
            </w:r>
            <w:r w:rsidDel="00000000" w:rsidR="00000000" w:rsidRPr="00000000">
              <w:rPr>
                <w:rtl w:val="0"/>
              </w:rPr>
              <w:t xml:space="preserve">communicate information and ideas orally in French, using a variety of speaking strategies, appropriate language structures, and language appropriate to the purpose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B2. Speaking to Interact: </w:t>
            </w:r>
            <w:r w:rsidDel="00000000" w:rsidR="00000000" w:rsidRPr="00000000">
              <w:rPr>
                <w:rtl w:val="0"/>
              </w:rPr>
              <w:t xml:space="preserve">participate in spoken interactions in French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B3. Intercultural Understanding:</w:t>
            </w:r>
            <w:r w:rsidDel="00000000" w:rsidR="00000000" w:rsidRPr="00000000">
              <w:rPr>
                <w:rtl w:val="0"/>
              </w:rPr>
              <w:t xml:space="preserve"> in their spoken communications, demonstrate an awareness of aspects of culture in diverse French-speaking communities and other communities around the world, and of the appropriate use of French sociolinguistic conventions 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C1. Reading Comprehension:</w:t>
            </w:r>
            <w:r w:rsidDel="00000000" w:rsidR="00000000" w:rsidRPr="00000000">
              <w:rPr>
                <w:rtl w:val="0"/>
              </w:rPr>
              <w:t xml:space="preserve"> determine meaning in a variety of authentic and adapted French texts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D1. Purpose, Audience, and Form: </w:t>
            </w:r>
            <w:r w:rsidDel="00000000" w:rsidR="00000000" w:rsidRPr="00000000">
              <w:rPr>
                <w:rtl w:val="0"/>
              </w:rPr>
              <w:t xml:space="preserve">write French texts for different purposes and audiences, using a variety of forms and knowledge of language structures and conventions of written French appropriate for this level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D3. Intercultural Understanding:</w:t>
            </w:r>
            <w:r w:rsidDel="00000000" w:rsidR="00000000" w:rsidRPr="00000000">
              <w:rPr>
                <w:rtl w:val="0"/>
              </w:rPr>
              <w:t xml:space="preserve"> in their written work, demonstrate an awareness of aspects of culture in diverse French-speaking communities and other communities around the world, and of the appropriate use of French sociolinguistic conventions in a variety of situations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120" w:before="120" w:lineRule="auto"/>
              <w:ind w:left="0" w:firstLine="0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Les énoncés je peux (CECR) (en langage destiné aux élèves) 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Suivant </w:t>
            </w:r>
            <w:hyperlink r:id="rId13">
              <w:r w:rsidDel="00000000" w:rsidR="00000000" w:rsidRPr="00000000">
                <w:rPr>
                  <w:i w:val="1"/>
                  <w:iCs w:val="1"/>
                  <w:color w:val="1155cc"/>
                  <w:u w:val="single"/>
                  <w:rtl w:val="0"/>
                </w:rPr>
                <w:t xml:space="preserve">le modèle sur la fiche du thème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 can introduce myself in an email.</w:t>
            </w:r>
            <w:r w:rsidDel="00000000" w:rsidR="00000000" w:rsidRPr="00000000">
              <w:rPr>
                <w:rtl w:val="0"/>
              </w:rPr>
              <w:t xml:space="preserve"> / Je peux m’introduire dans un courriel.</w:t>
            </w:r>
          </w:p>
          <w:p w:rsidR="00000000" w:rsidDel="00000000" w:rsidP="00000000" w:rsidRDefault="00000000" w:rsidRPr="00000000" w14:paraId="0000003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 can spell most words correctly and be understood when writing a message.</w:t>
            </w:r>
            <w:r w:rsidDel="00000000" w:rsidR="00000000" w:rsidRPr="00000000">
              <w:rPr>
                <w:rtl w:val="0"/>
              </w:rPr>
              <w:t xml:space="preserve"> / Je peux écrire correctement la plupart des mots et être bien compris(e) quand j’écris un message.</w:t>
            </w:r>
          </w:p>
          <w:p w:rsidR="00000000" w:rsidDel="00000000" w:rsidP="00000000" w:rsidRDefault="00000000" w:rsidRPr="00000000" w14:paraId="0000003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 can suggest plans and ideas in an email. / </w:t>
            </w:r>
            <w:r w:rsidDel="00000000" w:rsidR="00000000" w:rsidRPr="00000000">
              <w:rPr>
                <w:rtl w:val="0"/>
              </w:rPr>
              <w:t xml:space="preserve">Je peux suggérer des plans et des idées dans un courriel.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rPr/>
      </w:pPr>
      <w:bookmarkStart w:colFirst="0" w:colLast="0" w:name="_heading=h.qwphjh7fg80m" w:id="2"/>
      <w:bookmarkEnd w:id="2"/>
      <w:r w:rsidDel="00000000" w:rsidR="00000000" w:rsidRPr="00000000">
        <w:rPr>
          <w:rtl w:val="0"/>
        </w:rPr>
        <w:t xml:space="preserve">Plan de leçon</w:t>
      </w:r>
    </w:p>
    <w:p w:rsidR="00000000" w:rsidDel="00000000" w:rsidP="00000000" w:rsidRDefault="00000000" w:rsidRPr="00000000" w14:paraId="00000039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Comment répondre à un courriel</w:t>
      </w:r>
    </w:p>
    <w:p w:rsidR="00000000" w:rsidDel="00000000" w:rsidP="00000000" w:rsidRDefault="00000000" w:rsidRPr="00000000" w14:paraId="0000003A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rPr/>
      </w:pPr>
      <w:r w:rsidDel="00000000" w:rsidR="00000000" w:rsidRPr="00000000">
        <w:rPr>
          <w:rtl w:val="0"/>
        </w:rPr>
        <w:t xml:space="preserve">Buts d'apprentissage : 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I can introduce myself in an email. / Je peux m’introduire dans un courriel.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I can respond to an email. / Je peux répondre à un courriel.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I can spell most words correctly and be understood when writing a message. / Je peux écrire correctement la plupart des mots et être bien compris(e) quand j’écris un message.</w:t>
      </w:r>
    </w:p>
    <w:p w:rsidR="00000000" w:rsidDel="00000000" w:rsidP="00000000" w:rsidRDefault="00000000" w:rsidRPr="00000000" w14:paraId="0000003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rPr/>
      </w:pPr>
      <w:r w:rsidDel="00000000" w:rsidR="00000000" w:rsidRPr="00000000">
        <w:rPr>
          <w:rtl w:val="0"/>
        </w:rPr>
        <w:t xml:space="preserve">Directives :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Project the Slideshow for the class to see / Projeter le </w:t>
      </w:r>
      <w:r w:rsidDel="00000000" w:rsidR="00000000" w:rsidRPr="00000000">
        <w:rPr>
          <w:rtl w:val="0"/>
        </w:rPr>
        <w:t xml:space="preserve">diaporama</w:t>
      </w:r>
      <w:r w:rsidDel="00000000" w:rsidR="00000000" w:rsidRPr="00000000">
        <w:rPr>
          <w:rtl w:val="0"/>
        </w:rPr>
        <w:t xml:space="preserve"> pour la </w:t>
      </w:r>
      <w:r w:rsidDel="00000000" w:rsidR="00000000" w:rsidRPr="00000000">
        <w:rPr>
          <w:rtl w:val="0"/>
        </w:rPr>
        <w:t xml:space="preserve">classe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Go through the slideshow with the class /Expliquer le diaporama à la classe.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There is a Student Copy to use / Il y a une copie de l'élève à utiliser.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Read through the email exemplar together/ Lire l'exemple de courriel ensemble.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Then go through each component of an email with the class. Take the time to allow students to ask questions about the email./ Ensuite, aller à travers chaque composante d'un courriel avec la classe et répondre aux questions des élèves.</w:t>
      </w:r>
    </w:p>
    <w:p w:rsidR="00000000" w:rsidDel="00000000" w:rsidP="00000000" w:rsidRDefault="00000000" w:rsidRPr="00000000" w14:paraId="0000004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rPr/>
      </w:pPr>
      <w:r w:rsidDel="00000000" w:rsidR="00000000" w:rsidRPr="00000000">
        <w:rPr>
          <w:rtl w:val="0"/>
        </w:rPr>
        <w:t xml:space="preserve">Activité de consolidation possible pour l'oral/</w:t>
      </w:r>
      <w:r w:rsidDel="00000000" w:rsidR="00000000" w:rsidRPr="00000000">
        <w:rPr>
          <w:i w:val="1"/>
          <w:iCs w:val="1"/>
          <w:rtl w:val="0"/>
        </w:rPr>
        <w:t xml:space="preserve">Possible oral extension activity</w:t>
      </w:r>
      <w:r w:rsidDel="00000000" w:rsidR="00000000" w:rsidRPr="00000000">
        <w:rPr>
          <w:rtl w:val="0"/>
        </w:rPr>
        <w:t xml:space="preserve"> : 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Chaque groupe va partager sa réponse au courriel initial avec la classe.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La classe va proposer une réponse verbale à ce groupe selon le rôle de l'expéditeur initial.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widowControl w:val="0"/>
        <w:spacing w:line="240" w:lineRule="auto"/>
        <w:rPr/>
      </w:pPr>
      <w:bookmarkStart w:colFirst="0" w:colLast="0" w:name="_heading=h.z5cnsy9r2njv" w:id="3"/>
      <w:bookmarkEnd w:id="3"/>
      <w:r w:rsidDel="00000000" w:rsidR="00000000" w:rsidRPr="00000000">
        <w:rPr>
          <w:rtl w:val="0"/>
        </w:rPr>
        <w:t xml:space="preserve">Des activités / ressources possibles : </w:t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Diaporama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Feuille d’activité - Copie de l’élève</w:t>
        </w:r>
      </w:hyperlink>
      <w:r w:rsidDel="00000000" w:rsidR="00000000" w:rsidRPr="00000000">
        <w:rPr>
          <w:rtl w:val="0"/>
        </w:rPr>
      </w:r>
    </w:p>
    <w:sectPr>
      <w:footerReference r:id="rId16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sap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Bdr>
        <w:top w:color="d9d9e3" w:space="0" w:sz="0" w:val="none"/>
        <w:left w:color="d9d9e3" w:space="0" w:sz="0" w:val="none"/>
        <w:bottom w:color="d9d9e3" w:space="0" w:sz="0" w:val="none"/>
        <w:right w:color="d9d9e3" w:space="0" w:sz="0" w:val="none"/>
        <w:between w:color="d9d9e3" w:space="0" w:sz="0" w:val="none"/>
      </w:pBdr>
      <w:shd w:fill="ffffff" w:val="clear"/>
      <w:spacing w:after="120" w:before="120" w:lineRule="auto"/>
      <w:ind w:left="0" w:firstLine="0"/>
      <w:jc w:val="both"/>
      <w:rPr/>
    </w:pPr>
    <w:r w:rsidDel="00000000" w:rsidR="00000000" w:rsidRPr="00000000">
      <w:rPr>
        <w:rFonts w:ascii="Montserrat" w:cs="Montserrat" w:eastAsia="Montserrat" w:hAnsi="Montserrat"/>
        <w:sz w:val="20"/>
        <w:szCs w:val="20"/>
        <w:rtl w:val="0"/>
      </w:rPr>
      <w:t xml:space="preserve">Cette ressource, </w:t>
    </w:r>
    <w:r w:rsidDel="00000000" w:rsidR="00000000" w:rsidRPr="00000000">
      <w:rPr>
        <w:rFonts w:ascii="Montserrat" w:cs="Montserrat" w:eastAsia="Montserrat" w:hAnsi="Montserrat"/>
        <w:b w:val="1"/>
        <w:bCs w:val="1"/>
        <w:i w:val="1"/>
        <w:iCs w:val="1"/>
        <w:sz w:val="20"/>
        <w:szCs w:val="20"/>
        <w:rtl w:val="0"/>
      </w:rPr>
      <w:t xml:space="preserve">Comment répondre à un courriel</w:t>
    </w:r>
    <w:r w:rsidDel="00000000" w:rsidR="00000000" w:rsidRPr="00000000">
      <w:rPr>
        <w:rFonts w:ascii="Montserrat" w:cs="Montserrat" w:eastAsia="Montserrat" w:hAnsi="Montserrat"/>
        <w:sz w:val="20"/>
        <w:szCs w:val="20"/>
        <w:rtl w:val="0"/>
      </w:rPr>
      <w:t xml:space="preserve">, est adaptée de “CEFR Scenario Webs” par CEFR Eastern Region Working Group, utilisé sous licence CC BY-NC-SA.  </w:t>
    </w:r>
    <w:r w:rsidDel="00000000" w:rsidR="00000000" w:rsidRPr="00000000">
      <w:rPr>
        <w:rFonts w:ascii="Montserrat" w:cs="Montserrat" w:eastAsia="Montserrat" w:hAnsi="Montserrat"/>
        <w:b w:val="1"/>
        <w:bCs w:val="1"/>
        <w:i w:val="1"/>
        <w:iCs w:val="1"/>
        <w:sz w:val="20"/>
        <w:szCs w:val="20"/>
        <w:rtl w:val="0"/>
      </w:rPr>
      <w:t xml:space="preserve">Comment répondre à un courriel</w:t>
    </w:r>
    <w:r w:rsidDel="00000000" w:rsidR="00000000" w:rsidRPr="00000000">
      <w:rPr>
        <w:rFonts w:ascii="Montserrat" w:cs="Montserrat" w:eastAsia="Montserrat" w:hAnsi="Montserrat"/>
        <w:sz w:val="20"/>
        <w:szCs w:val="20"/>
        <w:rtl w:val="0"/>
      </w:rPr>
      <w:t xml:space="preserve"> est placée sous licence </w:t>
    </w:r>
    <w:hyperlink r:id="rId1">
      <w:r w:rsidDel="00000000" w:rsidR="00000000" w:rsidRPr="00000000">
        <w:rPr>
          <w:rFonts w:ascii="Montserrat" w:cs="Montserrat" w:eastAsia="Montserrat" w:hAnsi="Montserrat"/>
          <w:color w:val="1155cc"/>
          <w:sz w:val="20"/>
          <w:szCs w:val="20"/>
          <w:u w:val="single"/>
          <w:rtl w:val="0"/>
        </w:rPr>
        <w:t xml:space="preserve">CC BY-NC-SA</w:t>
      </w:r>
    </w:hyperlink>
    <w:r w:rsidDel="00000000" w:rsidR="00000000" w:rsidRPr="00000000">
      <w:rPr>
        <w:rFonts w:ascii="Montserrat" w:cs="Montserrat" w:eastAsia="Montserrat" w:hAnsi="Montserrat"/>
        <w:sz w:val="20"/>
        <w:szCs w:val="20"/>
        <w:rtl w:val="0"/>
      </w:rPr>
      <w:t xml:space="preserve"> par </w:t>
    </w:r>
    <w:r w:rsidDel="00000000" w:rsidR="00000000" w:rsidRPr="00000000">
      <w:rPr>
        <w:rFonts w:ascii="Montserrat" w:cs="Montserrat" w:eastAsia="Montserrat" w:hAnsi="Montserrat"/>
        <w:b w:val="1"/>
        <w:bCs w:val="1"/>
        <w:sz w:val="20"/>
        <w:szCs w:val="20"/>
        <w:rtl w:val="0"/>
      </w:rPr>
      <w:t xml:space="preserve">Alexandra Guzman</w:t>
    </w:r>
    <w:r w:rsidDel="00000000" w:rsidR="00000000" w:rsidRPr="00000000">
      <w:rPr>
        <w:rFonts w:ascii="Montserrat" w:cs="Montserrat" w:eastAsia="Montserrat" w:hAnsi="Montserrat"/>
        <w:sz w:val="20"/>
        <w:szCs w:val="20"/>
        <w:rtl w:val="0"/>
      </w:rPr>
      <w:t xml:space="preserve">.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5695950</wp:posOffset>
          </wp:positionH>
          <wp:positionV relativeFrom="paragraph">
            <wp:posOffset>485775</wp:posOffset>
          </wp:positionV>
          <wp:extent cx="1157288" cy="491847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7288" cy="491847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k12studio.ca/resource/organiser-une-soiree-montreal-grade-9-core-french-a2/7413" TargetMode="External"/><Relationship Id="rId10" Type="http://schemas.openxmlformats.org/officeDocument/2006/relationships/hyperlink" Target="https://k12studio.ca/resource/organiser-une-soiree-montreal-grade-9-core-french-a2/7413" TargetMode="External"/><Relationship Id="rId13" Type="http://schemas.openxmlformats.org/officeDocument/2006/relationships/hyperlink" Target="https://k12studio.ca/resource/organiser-une-soiree-montreal-grade-9-core-french-a2/7413" TargetMode="External"/><Relationship Id="rId12" Type="http://schemas.openxmlformats.org/officeDocument/2006/relationships/hyperlink" Target="https://k12studio.ca/resource/organiser-une-soiree-montreal-grade-9-core-french-a2/7413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huntdani2404.wixsite.com/cefr-eastern-region/grade-9-inclusive-academic-a2" TargetMode="External"/><Relationship Id="rId15" Type="http://schemas.openxmlformats.org/officeDocument/2006/relationships/hyperlink" Target="https://k12studio.ca/resource/comment-repondre-un-courriel-fiche-eleve/7421" TargetMode="External"/><Relationship Id="rId14" Type="http://schemas.openxmlformats.org/officeDocument/2006/relationships/hyperlink" Target="https://k12studio.ca/resource/comment-repondre-un-courriel-presentation/7420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huntdani2404.wixsite.com/cefr-eastern-regio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Asap-regular.ttf"/><Relationship Id="rId6" Type="http://schemas.openxmlformats.org/officeDocument/2006/relationships/font" Target="fonts/Asap-bold.ttf"/><Relationship Id="rId7" Type="http://schemas.openxmlformats.org/officeDocument/2006/relationships/font" Target="fonts/Asap-italic.ttf"/><Relationship Id="rId8" Type="http://schemas.openxmlformats.org/officeDocument/2006/relationships/font" Target="fonts/Asap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reativecommons.org/licenses/by-nc-sa/4.0/deed.en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OIwxOOmVSnF5rOwg0I/d1jbIqw==">CgMxLjAyDmgucW16azBhcDF1emc5Mg5oLnNqb3BmY3lvemp0NzIOaC5xd3Boamg3Zmc4MG0yDmguejVjbnN5OXIybmp2OAByITFpREJNQ2s3dXI3TXpoRWd3bDk4cEJuLTZVaE44WU1rMw==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